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(нужное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имущест-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r>
              <w:t>п</w:t>
            </w:r>
            <w:r w:rsidR="00F8604D">
              <w:t>/</w:t>
            </w:r>
            <w: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1E04A9">
            <w:pPr>
              <w:shd w:val="clear" w:color="auto" w:fill="FFFFFF"/>
              <w:ind w:left="187" w:right="206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173F8" w:rsidTr="001E04A9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9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r w:rsidRPr="000E5AAC"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t xml:space="preserve">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>в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организациях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0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926771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.2. </w:t>
      </w:r>
      <w:r w:rsidR="004C652B">
        <w:rPr>
          <w:b/>
          <w:sz w:val="24"/>
          <w:szCs w:val="24"/>
        </w:rPr>
        <w:t>Срочные</w:t>
      </w:r>
      <w:r w:rsidR="000E5AAC"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="000E5AAC"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1E04A9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E95CC6" w:rsidRDefault="00A73735" w:rsidP="0075347B">
            <w:pPr>
              <w:pStyle w:val="11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1E04A9" w:rsidP="0075347B">
            <w:pPr>
              <w:ind w:lef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20___</w:t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1E04A9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1E04A9">
              <w:rPr>
                <w:sz w:val="18"/>
                <w:szCs w:val="18"/>
              </w:rPr>
              <w:t>Ф.И.О.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8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EB" w:rsidRDefault="00FB4AEB">
      <w:r>
        <w:separator/>
      </w:r>
    </w:p>
  </w:endnote>
  <w:endnote w:type="continuationSeparator" w:id="0">
    <w:p w:rsidR="00FB4AEB" w:rsidRDefault="00FB4AEB">
      <w:r>
        <w:continuationSeparator/>
      </w:r>
    </w:p>
  </w:endnote>
  <w:endnote w:id="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</w:t>
      </w:r>
      <w:r w:rsidR="001E04A9">
        <w:t>Б</w:t>
      </w:r>
      <w:r w:rsidRPr="00187BAE">
        <w:t>анка Росси</w:t>
      </w:r>
      <w:r w:rsidR="001E04A9">
        <w:t>и</w:t>
      </w:r>
      <w:r w:rsidRPr="00187BAE">
        <w:t xml:space="preserve"> на дату получения дохода.</w:t>
      </w:r>
    </w:p>
  </w:endnote>
  <w:endnote w:id="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2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EB" w:rsidRDefault="00FB4AEB">
      <w:r>
        <w:separator/>
      </w:r>
    </w:p>
  </w:footnote>
  <w:footnote w:type="continuationSeparator" w:id="0">
    <w:p w:rsidR="00FB4AEB" w:rsidRDefault="00FB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81" w:rsidRDefault="00F05357">
    <w:pPr>
      <w:pStyle w:val="a3"/>
      <w:jc w:val="center"/>
    </w:pPr>
    <w:fldSimple w:instr=" PAGE   \* MERGEFORMAT ">
      <w:r w:rsidR="00C8413D">
        <w:rPr>
          <w:noProof/>
        </w:rPr>
        <w:t>6</w:t>
      </w:r>
    </w:fldSimple>
  </w:p>
  <w:p w:rsidR="006D2781" w:rsidRDefault="006D2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1045F1"/>
    <w:rsid w:val="00164692"/>
    <w:rsid w:val="00187BAE"/>
    <w:rsid w:val="001B111F"/>
    <w:rsid w:val="001C03B8"/>
    <w:rsid w:val="001E04A9"/>
    <w:rsid w:val="001E2135"/>
    <w:rsid w:val="001E74CB"/>
    <w:rsid w:val="001E7563"/>
    <w:rsid w:val="0022055B"/>
    <w:rsid w:val="00231351"/>
    <w:rsid w:val="00264677"/>
    <w:rsid w:val="00282ED5"/>
    <w:rsid w:val="002D5AA9"/>
    <w:rsid w:val="003377C9"/>
    <w:rsid w:val="0039695B"/>
    <w:rsid w:val="003A7DE0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01B28"/>
    <w:rsid w:val="00630112"/>
    <w:rsid w:val="006934E6"/>
    <w:rsid w:val="006B62DE"/>
    <w:rsid w:val="006D2781"/>
    <w:rsid w:val="007459B8"/>
    <w:rsid w:val="0075138E"/>
    <w:rsid w:val="0075347B"/>
    <w:rsid w:val="00764F05"/>
    <w:rsid w:val="0078018C"/>
    <w:rsid w:val="00795685"/>
    <w:rsid w:val="007C1C0E"/>
    <w:rsid w:val="007E1DFF"/>
    <w:rsid w:val="007F0619"/>
    <w:rsid w:val="008156F1"/>
    <w:rsid w:val="008B5245"/>
    <w:rsid w:val="008C2001"/>
    <w:rsid w:val="008D2A81"/>
    <w:rsid w:val="008D742F"/>
    <w:rsid w:val="008D7BB2"/>
    <w:rsid w:val="00904104"/>
    <w:rsid w:val="00910999"/>
    <w:rsid w:val="0091280F"/>
    <w:rsid w:val="00913D4B"/>
    <w:rsid w:val="00923356"/>
    <w:rsid w:val="00926771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B77B0"/>
    <w:rsid w:val="00AE0AF4"/>
    <w:rsid w:val="00AF554D"/>
    <w:rsid w:val="00AF698C"/>
    <w:rsid w:val="00B15B46"/>
    <w:rsid w:val="00B214DC"/>
    <w:rsid w:val="00B74FE4"/>
    <w:rsid w:val="00B90F16"/>
    <w:rsid w:val="00B97087"/>
    <w:rsid w:val="00BF0211"/>
    <w:rsid w:val="00C207D4"/>
    <w:rsid w:val="00C8413D"/>
    <w:rsid w:val="00CA2AE7"/>
    <w:rsid w:val="00CB4B6E"/>
    <w:rsid w:val="00CF14E2"/>
    <w:rsid w:val="00D56E86"/>
    <w:rsid w:val="00D60FD3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D4647"/>
    <w:rsid w:val="00F05357"/>
    <w:rsid w:val="00F10A09"/>
    <w:rsid w:val="00F23A56"/>
    <w:rsid w:val="00F84067"/>
    <w:rsid w:val="00F8604D"/>
    <w:rsid w:val="00FB4AEB"/>
    <w:rsid w:val="00FC1EFB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2015-01-28T20:00:00+00:00</DocDate>
    <Description xmlns="f07adec3-9edc-4ba9-a947-c557adee0635" xsi:nil="true"/>
    <docType xmlns="1c3e5e44-5afc-4e32-9e49-e9b2ac936314">41</docType>
  </documentManagement>
</p:properties>
</file>

<file path=customXml/itemProps1.xml><?xml version="1.0" encoding="utf-8"?>
<ds:datastoreItem xmlns:ds="http://schemas.openxmlformats.org/officeDocument/2006/customXml" ds:itemID="{964FACA8-DB69-4F95-A72F-B668AC32CC98}"/>
</file>

<file path=customXml/itemProps2.xml><?xml version="1.0" encoding="utf-8"?>
<ds:datastoreItem xmlns:ds="http://schemas.openxmlformats.org/officeDocument/2006/customXml" ds:itemID="{91A094BF-AD7B-482A-A025-13605A03BEC8}"/>
</file>

<file path=customXml/itemProps3.xml><?xml version="1.0" encoding="utf-8"?>
<ds:datastoreItem xmlns:ds="http://schemas.openxmlformats.org/officeDocument/2006/customXml" ds:itemID="{840DDD63-758F-4671-B11F-A2402ACA104F}"/>
</file>

<file path=customXml/itemProps4.xml><?xml version="1.0" encoding="utf-8"?>
<ds:datastoreItem xmlns:ds="http://schemas.openxmlformats.org/officeDocument/2006/customXml" ds:itemID="{0CA18B57-3BD1-402B-9F19-D004767D639F}"/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 о доходах</dc:title>
  <dc:creator>вл</dc:creator>
  <cp:lastModifiedBy>rozenson</cp:lastModifiedBy>
  <cp:revision>2</cp:revision>
  <cp:lastPrinted>2014-09-11T07:46:00Z</cp:lastPrinted>
  <dcterms:created xsi:type="dcterms:W3CDTF">2015-01-29T06:01:00Z</dcterms:created>
  <dcterms:modified xsi:type="dcterms:W3CDTF">2015-01-29T06:01:00Z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0x0101005D1EC9AE3B45C640979E6D1C0EA8F8C3</vt:lpwstr>
  </property>
</Properties>
</file>